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DE" w:rsidRDefault="008B27DE" w:rsidP="008B27DE">
      <w:pPr>
        <w:spacing w:line="276" w:lineRule="auto"/>
        <w:jc w:val="center"/>
        <w:rPr>
          <w:rStyle w:val="dn"/>
          <w:b/>
          <w:bCs/>
        </w:rPr>
      </w:pPr>
      <w:r w:rsidRPr="00921177">
        <w:rPr>
          <w:rStyle w:val="dn"/>
          <w:b/>
          <w:noProof/>
          <w:lang w:eastAsia="cs-CZ"/>
        </w:rPr>
        <w:drawing>
          <wp:inline distT="0" distB="0" distL="0" distR="0">
            <wp:extent cx="1150620" cy="1150620"/>
            <wp:effectExtent l="0" t="0" r="0" b="0"/>
            <wp:docPr id="1" name="Obrázek 1" descr="Praha1_Znak-tex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raha1_Znak-text_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DE" w:rsidRDefault="008B27DE" w:rsidP="008B27DE">
      <w:pPr>
        <w:spacing w:after="0" w:line="240" w:lineRule="auto"/>
        <w:jc w:val="center"/>
        <w:rPr>
          <w:rStyle w:val="dn"/>
          <w:b/>
          <w:bCs/>
        </w:rPr>
      </w:pPr>
    </w:p>
    <w:p w:rsidR="008B27DE" w:rsidRPr="00192122" w:rsidRDefault="008B27DE" w:rsidP="008B27DE">
      <w:pPr>
        <w:tabs>
          <w:tab w:val="right" w:pos="90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122">
        <w:rPr>
          <w:rStyle w:val="dn"/>
          <w:rFonts w:ascii="Times New Roman" w:hAnsi="Times New Roman" w:cs="Times New Roman"/>
          <w:b/>
          <w:bCs/>
          <w:sz w:val="28"/>
          <w:szCs w:val="28"/>
          <w:lang w:val="de-DE"/>
        </w:rPr>
        <w:t>TISKOV</w:t>
      </w:r>
      <w:r w:rsidRPr="00192122">
        <w:rPr>
          <w:rStyle w:val="dn"/>
          <w:rFonts w:ascii="Times New Roman" w:hAnsi="Times New Roman" w:cs="Times New Roman"/>
          <w:b/>
          <w:bCs/>
          <w:sz w:val="28"/>
          <w:szCs w:val="28"/>
        </w:rPr>
        <w:t>Á ZPRÁVA</w:t>
      </w:r>
      <w:r w:rsidRPr="00192122">
        <w:rPr>
          <w:rStyle w:val="dn"/>
          <w:rFonts w:ascii="Times New Roman" w:hAnsi="Times New Roman" w:cs="Times New Roman"/>
          <w:b/>
          <w:bCs/>
          <w:sz w:val="28"/>
          <w:szCs w:val="28"/>
        </w:rPr>
        <w:tab/>
      </w:r>
      <w:r w:rsidR="00CB53EE">
        <w:rPr>
          <w:rStyle w:val="dn"/>
          <w:rFonts w:ascii="Times New Roman" w:hAnsi="Times New Roman" w:cs="Times New Roman"/>
          <w:b/>
          <w:bCs/>
          <w:sz w:val="28"/>
          <w:szCs w:val="28"/>
        </w:rPr>
        <w:t>21</w:t>
      </w:r>
      <w:r w:rsidR="00F31D10">
        <w:rPr>
          <w:rStyle w:val="dn"/>
          <w:rFonts w:ascii="Times New Roman" w:hAnsi="Times New Roman" w:cs="Times New Roman"/>
          <w:b/>
          <w:bCs/>
          <w:sz w:val="28"/>
          <w:szCs w:val="28"/>
        </w:rPr>
        <w:t>. ledna 2025</w:t>
      </w:r>
    </w:p>
    <w:p w:rsidR="006D31DC" w:rsidRPr="00CB53EE" w:rsidRDefault="006D31DC" w:rsidP="00CB53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94" w:rsidRPr="00CB53EE" w:rsidRDefault="008A1394" w:rsidP="00CB53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53EE" w:rsidRPr="00CB53EE" w:rsidRDefault="00CB53EE" w:rsidP="00CB53EE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CB53EE">
        <w:rPr>
          <w:rFonts w:ascii="Times New Roman" w:hAnsi="Times New Roman" w:cs="Times New Roman"/>
          <w:b/>
          <w:bCs/>
          <w:color w:val="222222"/>
          <w:sz w:val="28"/>
          <w:szCs w:val="28"/>
        </w:rPr>
        <w:t>Praha 1 přispěje občanům dva miliony na nákupy v místních lékárnách</w:t>
      </w:r>
    </w:p>
    <w:p w:rsidR="00CB53EE" w:rsidRPr="00CB53EE" w:rsidRDefault="00CB53EE" w:rsidP="00CB53E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CB53EE" w:rsidRDefault="00CB53EE" w:rsidP="00CB53EE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CB53E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Zastupitelstvo MČ Praha 1 schválilo přímou podporu svých občanů, kteří nakupují v lékárnách Nemocnice Na Františku. Jde o koncept podpory lokální ekonomiky formou příspěvku na nákupy místních obyvatel. Rada pak 21. ledna rozhodla o konkrétní podobě celé akce: Radnice se zapojí do příspěvkového systému Corrency. Projekt odstartuje počátkem února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2025 </w:t>
      </w:r>
      <w:r w:rsidRPr="00CB53EE">
        <w:rPr>
          <w:rFonts w:ascii="Times New Roman" w:hAnsi="Times New Roman" w:cs="Times New Roman"/>
          <w:b/>
          <w:bCs/>
          <w:color w:val="222222"/>
          <w:sz w:val="24"/>
          <w:szCs w:val="24"/>
        </w:rPr>
        <w:t>a radnice do něj vloží dva milion korun. Ty mohou obyvatelé čerpat až do konce září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2025</w:t>
      </w:r>
      <w:r w:rsidRPr="00CB53EE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</w:p>
    <w:p w:rsidR="00CB53EE" w:rsidRPr="00CB53EE" w:rsidRDefault="00CB53EE" w:rsidP="00CB53E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CB53EE" w:rsidRDefault="00CB53EE" w:rsidP="00CB53E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B53EE">
        <w:rPr>
          <w:rFonts w:ascii="Times New Roman" w:hAnsi="Times New Roman" w:cs="Times New Roman"/>
          <w:color w:val="222222"/>
          <w:sz w:val="24"/>
          <w:szCs w:val="24"/>
        </w:rPr>
        <w:t>Praha 1 se rozhodla přispět svým obyvatelům na nákupy léků a dalšího lékárenského sortimentu. Zároveň chce zvýšit zájem o lékárny, které zřizuje. Na zboží, které v těchto lékárnách zakoupí místní občané, přispěje radnice 70 % z ceny. Zákazník tak za svůj nákup zaplatí méně než třetinu. Každý zaregistrovaný občan může touto cestou čerpat podporu až 1000 korun.</w:t>
      </w:r>
    </w:p>
    <w:p w:rsidR="00CB53EE" w:rsidRPr="00CB53EE" w:rsidRDefault="00CB53EE" w:rsidP="00CB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3EE" w:rsidRDefault="00CB53EE" w:rsidP="00CB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3EE">
        <w:rPr>
          <w:rFonts w:ascii="Times New Roman" w:hAnsi="Times New Roman" w:cs="Times New Roman"/>
          <w:sz w:val="24"/>
          <w:szCs w:val="24"/>
        </w:rPr>
        <w:t>„</w:t>
      </w:r>
      <w:r w:rsidRPr="00CB53EE">
        <w:rPr>
          <w:rFonts w:ascii="Times New Roman" w:hAnsi="Times New Roman" w:cs="Times New Roman"/>
          <w:i/>
          <w:iCs/>
          <w:sz w:val="24"/>
          <w:szCs w:val="24"/>
        </w:rPr>
        <w:t xml:space="preserve">Zapojením do systému Corrency chceme jednak zvýšit konkurenceschopnost místních lékáren. Jsou to malé podniky, které nemají zdaleka takové možnosti jako lékárenské sítě. Vedle toho chceme ulevit především sociálně slabším lidem, </w:t>
      </w:r>
      <w:r>
        <w:rPr>
          <w:rFonts w:ascii="Times New Roman" w:hAnsi="Times New Roman" w:cs="Times New Roman"/>
          <w:i/>
          <w:iCs/>
          <w:sz w:val="24"/>
          <w:szCs w:val="24"/>
        </w:rPr>
        <w:t>pro které může být nákup léků a </w:t>
      </w:r>
      <w:r w:rsidRPr="00CB53EE">
        <w:rPr>
          <w:rFonts w:ascii="Times New Roman" w:hAnsi="Times New Roman" w:cs="Times New Roman"/>
          <w:i/>
          <w:iCs/>
          <w:sz w:val="24"/>
          <w:szCs w:val="24"/>
        </w:rPr>
        <w:t>zdravotnických pomůcek výraznou položkou v rozpočtu. V počátku akce míříme především na seniory a seniorky, ale v další fázi může Corrency využít každý občan naší městské části,“</w:t>
      </w:r>
      <w:r w:rsidRPr="00CB53EE">
        <w:rPr>
          <w:rFonts w:ascii="Times New Roman" w:hAnsi="Times New Roman" w:cs="Times New Roman"/>
          <w:sz w:val="24"/>
          <w:szCs w:val="24"/>
        </w:rPr>
        <w:t xml:space="preserve"> upozorňuje Michal Müller, radní MČ Praha 1 pro oblast zdravotnictví.</w:t>
      </w:r>
    </w:p>
    <w:p w:rsidR="00CB53EE" w:rsidRPr="00CB53EE" w:rsidRDefault="00CB53EE" w:rsidP="00CB53E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CB53EE" w:rsidRDefault="00CB53EE" w:rsidP="00CB53E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B53EE">
        <w:rPr>
          <w:rFonts w:ascii="Times New Roman" w:hAnsi="Times New Roman" w:cs="Times New Roman"/>
          <w:color w:val="222222"/>
          <w:sz w:val="24"/>
          <w:szCs w:val="24"/>
        </w:rPr>
        <w:t>Do systému se může přihlásit každý člověk s trvalým pobytem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v Praze 1. Projekt startuje 3. </w:t>
      </w:r>
      <w:r w:rsidRPr="00CB53EE">
        <w:rPr>
          <w:rFonts w:ascii="Times New Roman" w:hAnsi="Times New Roman" w:cs="Times New Roman"/>
          <w:color w:val="222222"/>
          <w:sz w:val="24"/>
          <w:szCs w:val="24"/>
        </w:rPr>
        <w:t xml:space="preserve">února 2025. V první fázi se registrace otevře seniorům (65 let a více), od března se mohou registrovat i ostatní občané. Za tzv. correnty (1 corrent = 1 koruna) lze nakupovat v obou lékárnách zřizovaných městskou částí - </w:t>
      </w:r>
      <w:r w:rsidRPr="00CB53EE">
        <w:rPr>
          <w:rFonts w:ascii="Times New Roman" w:hAnsi="Times New Roman" w:cs="Times New Roman"/>
          <w:sz w:val="24"/>
          <w:szCs w:val="24"/>
        </w:rPr>
        <w:t>Nonstop lékárna Na Františku (budova Nemocnice Na Františku) a Lékárna Palackého (poliklinika Palackého 5).</w:t>
      </w:r>
      <w:r w:rsidRPr="00CB53EE">
        <w:rPr>
          <w:rFonts w:ascii="Times New Roman" w:hAnsi="Times New Roman" w:cs="Times New Roman"/>
          <w:color w:val="222222"/>
          <w:sz w:val="24"/>
          <w:szCs w:val="24"/>
        </w:rPr>
        <w:t xml:space="preserve"> Akce platí na celý sortiment obou lékáren. </w:t>
      </w:r>
    </w:p>
    <w:p w:rsidR="00CB53EE" w:rsidRPr="00CB53EE" w:rsidRDefault="00CB53EE" w:rsidP="00CB53E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CB53EE" w:rsidRDefault="00CB53EE" w:rsidP="00CB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3EE">
        <w:rPr>
          <w:rFonts w:ascii="Times New Roman" w:hAnsi="Times New Roman" w:cs="Times New Roman"/>
          <w:color w:val="222222"/>
          <w:sz w:val="24"/>
          <w:szCs w:val="24"/>
        </w:rPr>
        <w:t>„</w:t>
      </w:r>
      <w:r w:rsidRPr="00CB53EE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Do systému Corrency se zájemci mohou hlásit na webových stránkách </w:t>
      </w:r>
      <w:hyperlink r:id="rId5" w:history="1">
        <w:r w:rsidRPr="00CB53EE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www.corrency.cz</w:t>
        </w:r>
      </w:hyperlink>
      <w:r w:rsidRPr="00CB53EE">
        <w:rPr>
          <w:rFonts w:ascii="Times New Roman" w:hAnsi="Times New Roman" w:cs="Times New Roman"/>
          <w:i/>
          <w:iCs/>
          <w:sz w:val="24"/>
          <w:szCs w:val="24"/>
        </w:rPr>
        <w:t>. Po registraci</w:t>
      </w:r>
      <w:r w:rsidRPr="00CB53EE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obdrží kód pro transakce. Ten v obchodě sdělí obsluze a na závěr zaplatí z celkové ceny zboží pouhou třetinu. Uhradí ji hotově nebo kartou,“</w:t>
      </w:r>
      <w:r w:rsidRPr="00CB53EE">
        <w:rPr>
          <w:rFonts w:ascii="Times New Roman" w:hAnsi="Times New Roman" w:cs="Times New Roman"/>
          <w:color w:val="222222"/>
          <w:sz w:val="24"/>
          <w:szCs w:val="24"/>
        </w:rPr>
        <w:t xml:space="preserve"> vysvětluje princip čerpání výhod </w:t>
      </w:r>
      <w:r w:rsidRPr="00CB53EE">
        <w:rPr>
          <w:rFonts w:ascii="Times New Roman" w:hAnsi="Times New Roman" w:cs="Times New Roman"/>
          <w:sz w:val="24"/>
          <w:szCs w:val="24"/>
        </w:rPr>
        <w:t>Monika Skokanová, projektová manažerka Corrency.</w:t>
      </w:r>
    </w:p>
    <w:p w:rsidR="00CB53EE" w:rsidRPr="00CB53EE" w:rsidRDefault="00CB53EE" w:rsidP="00CB53E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CB53EE" w:rsidRDefault="00CB53EE" w:rsidP="00CB53E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B53EE">
        <w:rPr>
          <w:rFonts w:ascii="Times New Roman" w:hAnsi="Times New Roman" w:cs="Times New Roman"/>
          <w:color w:val="222222"/>
          <w:sz w:val="24"/>
          <w:szCs w:val="24"/>
        </w:rPr>
        <w:t>Do podpory radnice vloží dva miliony korun, na tisícikorunový příspěvek tak dosáhnou až dva tisíce občanů. Platnost correntů vyprší na konci září. Čerpa</w:t>
      </w:r>
      <w:r>
        <w:rPr>
          <w:rFonts w:ascii="Times New Roman" w:hAnsi="Times New Roman" w:cs="Times New Roman"/>
          <w:color w:val="222222"/>
          <w:sz w:val="24"/>
          <w:szCs w:val="24"/>
        </w:rPr>
        <w:t>t je v plné výši lze postupně i </w:t>
      </w:r>
      <w:r w:rsidRPr="00CB53EE">
        <w:rPr>
          <w:rFonts w:ascii="Times New Roman" w:hAnsi="Times New Roman" w:cs="Times New Roman"/>
          <w:color w:val="222222"/>
          <w:sz w:val="24"/>
          <w:szCs w:val="24"/>
        </w:rPr>
        <w:t>jednorázově.</w:t>
      </w:r>
    </w:p>
    <w:p w:rsidR="00CB53EE" w:rsidRPr="00CB53EE" w:rsidRDefault="00CB53EE" w:rsidP="00CB53E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CB53EE" w:rsidRDefault="00CB53EE" w:rsidP="00CB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3EE">
        <w:rPr>
          <w:rFonts w:ascii="Times New Roman" w:hAnsi="Times New Roman" w:cs="Times New Roman"/>
          <w:color w:val="222222"/>
          <w:sz w:val="24"/>
          <w:szCs w:val="24"/>
        </w:rPr>
        <w:lastRenderedPageBreak/>
        <w:t>„</w:t>
      </w:r>
      <w:r w:rsidRPr="00CB53EE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Se systémem Corrency máme zkušenosti z pocovidového období.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>Nyní se k němu vracíme, a </w:t>
      </w:r>
      <w:r w:rsidRPr="00CB53EE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pokud se opět osvědčí, měl by se stát součástí dlouhodobé strategie rozvoje našich příspěvkových organizací. Již nyní víme, že Corrency naši občané vítají. </w:t>
      </w:r>
      <w:r w:rsidRPr="00CB53EE">
        <w:rPr>
          <w:rFonts w:ascii="Times New Roman" w:hAnsi="Times New Roman" w:cs="Times New Roman"/>
          <w:i/>
          <w:iCs/>
          <w:sz w:val="24"/>
          <w:szCs w:val="24"/>
        </w:rPr>
        <w:t>Uvidíme, jak budou výhody čerpat a jak se to odrazí na obratu lékáren. Osobně bych preferoval, abychom v takových aktivitách pokračovali,“</w:t>
      </w:r>
      <w:r w:rsidRPr="00CB53EE">
        <w:rPr>
          <w:rFonts w:ascii="Times New Roman" w:hAnsi="Times New Roman" w:cs="Times New Roman"/>
          <w:sz w:val="24"/>
          <w:szCs w:val="24"/>
        </w:rPr>
        <w:t xml:space="preserve"> říká radní Müller.</w:t>
      </w:r>
    </w:p>
    <w:p w:rsidR="00CB53EE" w:rsidRPr="00CB53EE" w:rsidRDefault="00CB53EE" w:rsidP="00CB53E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F13F77" w:rsidRPr="00CB53EE" w:rsidRDefault="00CB53EE" w:rsidP="00CB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3EE">
        <w:rPr>
          <w:rFonts w:ascii="Times New Roman" w:hAnsi="Times New Roman" w:cs="Times New Roman"/>
          <w:color w:val="222222"/>
          <w:sz w:val="24"/>
          <w:szCs w:val="24"/>
        </w:rPr>
        <w:t>Systém Corrency je alternativou dotačních titulů. Nabízí transparentní distribuci finančních prostředků měst, obcí nebo krajů. Praha 1 se tak připojí k řadě měst, která již systém využila. V loňském roce to byly například Lovosice, Jeseník, Ostrava, Praha 14. Nejčastěji města využívají systém na podporu místní ekonomiky. Někde ale systém aplikovali i v oblasti podpory rodin nebo mimoškolních aktivit. Například v Jeseníku podpořil projekt Corrency rodiny s dětmi při platbách za místní kroužky či volnočasové aktivity. Díky radnici tak mohli ušetřit až 75 % z jejich ceny.</w:t>
      </w:r>
      <w:bookmarkStart w:id="0" w:name="_GoBack"/>
      <w:bookmarkEnd w:id="0"/>
    </w:p>
    <w:p w:rsidR="00F31D10" w:rsidRPr="00F31D10" w:rsidRDefault="00F31D10" w:rsidP="00F3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529" w:rsidRPr="00F31D10" w:rsidRDefault="001A1529" w:rsidP="00F31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529" w:rsidRPr="00F31D10" w:rsidRDefault="001A1529" w:rsidP="00F31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208" w:rsidRPr="00192122" w:rsidRDefault="000A7208" w:rsidP="000A72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2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Kontakt pro média:</w:t>
      </w:r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Karolína Šnejdarová, vedoucí oddělení vnějších vztahů MČ Praha 1 </w:t>
      </w:r>
      <w:hyperlink r:id="rId6" w:history="1">
        <w:r w:rsidRPr="0019212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karolina.snejdarova@praha1.cz</w:t>
        </w:r>
      </w:hyperlink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+420 720 120</w:t>
      </w:r>
      <w:r w:rsidR="0060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555</w:t>
      </w:r>
    </w:p>
    <w:p w:rsidR="000A7208" w:rsidRDefault="000A7208"/>
    <w:p w:rsidR="00607190" w:rsidRPr="006D31DC" w:rsidRDefault="00607190"/>
    <w:sectPr w:rsidR="00607190" w:rsidRPr="006D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DC"/>
    <w:rsid w:val="000A7208"/>
    <w:rsid w:val="000B09CF"/>
    <w:rsid w:val="000E1137"/>
    <w:rsid w:val="001A1529"/>
    <w:rsid w:val="004A1B1B"/>
    <w:rsid w:val="005010B2"/>
    <w:rsid w:val="005E399A"/>
    <w:rsid w:val="00607190"/>
    <w:rsid w:val="006D31DC"/>
    <w:rsid w:val="006E11C1"/>
    <w:rsid w:val="007A0159"/>
    <w:rsid w:val="008A1394"/>
    <w:rsid w:val="008B27DE"/>
    <w:rsid w:val="009F5D9F"/>
    <w:rsid w:val="00A42C35"/>
    <w:rsid w:val="00CB53EE"/>
    <w:rsid w:val="00F13F77"/>
    <w:rsid w:val="00F3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BB9B"/>
  <w15:chartTrackingRefBased/>
  <w15:docId w15:val="{E4BACFBF-748D-4AB4-B999-B3ACB4B9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n">
    <w:name w:val="Žádný"/>
    <w:rsid w:val="008B27DE"/>
  </w:style>
  <w:style w:type="character" w:styleId="Hypertextovodkaz">
    <w:name w:val="Hyperlink"/>
    <w:uiPriority w:val="99"/>
    <w:unhideWhenUsed/>
    <w:rsid w:val="000A7208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60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7190"/>
    <w:rPr>
      <w:b/>
      <w:bCs/>
    </w:rPr>
  </w:style>
  <w:style w:type="paragraph" w:customStyle="1" w:styleId="s6">
    <w:name w:val="s6"/>
    <w:basedOn w:val="Normln"/>
    <w:rsid w:val="00F1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5">
    <w:name w:val="s5"/>
    <w:basedOn w:val="Standardnpsmoodstavce"/>
    <w:rsid w:val="00F13F77"/>
  </w:style>
  <w:style w:type="character" w:customStyle="1" w:styleId="s8">
    <w:name w:val="s8"/>
    <w:basedOn w:val="Standardnpsmoodstavce"/>
    <w:rsid w:val="00F13F77"/>
  </w:style>
  <w:style w:type="character" w:customStyle="1" w:styleId="s9">
    <w:name w:val="s9"/>
    <w:basedOn w:val="Standardnpsmoodstavce"/>
    <w:rsid w:val="00F1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olina.snejdarova@praha1.cz" TargetMode="External"/><Relationship Id="rId5" Type="http://schemas.openxmlformats.org/officeDocument/2006/relationships/hyperlink" Target="http://www.corrency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Bouček Jiří</dc:creator>
  <cp:keywords/>
  <dc:description/>
  <cp:lastModifiedBy>Pekařová Petra</cp:lastModifiedBy>
  <cp:revision>3</cp:revision>
  <dcterms:created xsi:type="dcterms:W3CDTF">2025-01-21T14:04:00Z</dcterms:created>
  <dcterms:modified xsi:type="dcterms:W3CDTF">2025-01-21T14:07:00Z</dcterms:modified>
</cp:coreProperties>
</file>